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zh-CN" w:eastAsia="zh-CN" w:bidi="ar-SA"/>
        </w:rPr>
        <w:t>南昌市“菜篮子”应急保供基地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lang w:val="zh-CN" w:eastAsia="zh-CN" w:bidi="ar-SA"/>
        </w:rPr>
        <w:t>认定与管理办法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8" w:lineRule="exact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235" w:afterLines="75" w:line="578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 xml:space="preserve">第一章 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4"/>
          <w:szCs w:val="34"/>
        </w:rPr>
        <w:t>总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4"/>
          <w:szCs w:val="34"/>
        </w:rPr>
        <w:t>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kern w:val="2"/>
          <w:sz w:val="34"/>
          <w:szCs w:val="34"/>
          <w:lang w:val="en-US" w:eastAsia="zh-CN" w:bidi="ar-SA"/>
        </w:rPr>
        <w:t xml:space="preserve">第一条 </w:t>
      </w:r>
      <w:r>
        <w:rPr>
          <w:rFonts w:hint="eastAsia" w:ascii="仿宋_GB2312" w:hAnsi="仿宋_GB2312" w:eastAsia="仿宋_GB2312" w:cs="仿宋_GB2312"/>
          <w:b/>
          <w:bCs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为落实“菜篮子”市长负责制，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南昌</w:t>
      </w:r>
      <w:r>
        <w:rPr>
          <w:rFonts w:hint="eastAsia" w:ascii="仿宋_GB2312" w:hAnsi="仿宋_GB2312" w:eastAsia="仿宋_GB2312" w:cs="仿宋_GB2312"/>
          <w:sz w:val="34"/>
          <w:szCs w:val="34"/>
        </w:rPr>
        <w:t>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4"/>
          <w:szCs w:val="34"/>
        </w:rPr>
        <w:t>菜篮子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（以下简称“菜篮子”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）的认定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与管理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工作，充分发挥其稳定“菜篮子”产品有效供应和质量安全的骨干作用，稳固提升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重要农产品</w:t>
      </w:r>
      <w:r>
        <w:rPr>
          <w:rFonts w:hint="eastAsia" w:ascii="仿宋_GB2312" w:hAnsi="仿宋_GB2312" w:eastAsia="仿宋_GB2312" w:cs="仿宋_GB2312"/>
          <w:sz w:val="34"/>
          <w:szCs w:val="34"/>
        </w:rPr>
        <w:t>应急保供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4"/>
          <w:szCs w:val="34"/>
        </w:rPr>
        <w:t>示范带动能力，结合我市实际，制定本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第二条  </w:t>
      </w:r>
      <w:r>
        <w:rPr>
          <w:rFonts w:hint="eastAsia" w:ascii="仿宋_GB2312" w:hAnsi="仿宋_GB2312" w:eastAsia="仿宋_GB2312" w:cs="仿宋_GB2312"/>
          <w:sz w:val="34"/>
          <w:szCs w:val="34"/>
        </w:rPr>
        <w:t>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34"/>
          <w:szCs w:val="34"/>
        </w:rPr>
        <w:t>所称</w:t>
      </w:r>
      <w:r>
        <w:rPr>
          <w:rFonts w:hint="eastAsia" w:ascii="仿宋_GB2312" w:hAnsi="宋体" w:eastAsia="仿宋_GB2312"/>
          <w:color w:val="000000"/>
          <w:kern w:val="2"/>
          <w:sz w:val="34"/>
          <w:szCs w:val="34"/>
          <w:lang w:val="en-US" w:eastAsia="zh-CN" w:bidi="ar-SA"/>
        </w:rPr>
        <w:t>的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，是指</w:t>
      </w:r>
      <w:r>
        <w:rPr>
          <w:rFonts w:hint="eastAsia" w:ascii="仿宋_GB2312" w:eastAsia="仿宋_GB2312" w:cs="仿宋_GB2312"/>
          <w:sz w:val="34"/>
          <w:szCs w:val="34"/>
          <w:shd w:val="clear" w:color="auto" w:fill="FFFFFF"/>
          <w:lang w:val="en-US" w:eastAsia="zh-CN"/>
        </w:rPr>
        <w:t>农业生产经营主体生产经营管理、生产经营规模和质量安全等指标达到规定标准，服从本市应急调度，如遇紧急情况积极响应政府号召，及时调整生产供应计划，在保证质量的前提下，维护价格稳定，保障居民的蔬菜、肉类等生活必需品的供应，且向南昌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市农业</w:t>
      </w:r>
      <w:r>
        <w:rPr>
          <w:rFonts w:hint="eastAsia" w:ascii="仿宋_GB2312" w:eastAsia="仿宋_GB2312" w:cs="仿宋_GB2312"/>
          <w:sz w:val="34"/>
          <w:szCs w:val="34"/>
          <w:shd w:val="clear" w:color="auto" w:fill="FFFFFF"/>
          <w:lang w:val="en-US" w:eastAsia="zh-CN"/>
        </w:rPr>
        <w:t>农村局（以下简称市农业农村局）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申请认定的</w:t>
      </w:r>
      <w:r>
        <w:rPr>
          <w:rFonts w:hint="eastAsia" w:ascii="仿宋_GB2312" w:eastAsia="仿宋_GB2312" w:cs="仿宋_GB2312"/>
          <w:sz w:val="34"/>
          <w:szCs w:val="34"/>
          <w:shd w:val="clear" w:color="auto" w:fill="FFFFFF"/>
          <w:lang w:val="en-US" w:eastAsia="zh-CN"/>
        </w:rPr>
        <w:t>基地，包含</w:t>
      </w:r>
      <w:r>
        <w:rPr>
          <w:rFonts w:hint="eastAsia" w:ascii="仿宋_GB2312" w:eastAsia="仿宋_GB2312" w:cs="仿宋_GB2312"/>
          <w:sz w:val="34"/>
          <w:szCs w:val="34"/>
          <w:shd w:val="clear" w:color="auto" w:fill="FFFFFF"/>
        </w:rPr>
        <w:t>蔬</w:t>
      </w:r>
      <w:r>
        <w:rPr>
          <w:rFonts w:hint="eastAsia" w:ascii="仿宋_GB2312" w:hAnsi="仿宋_GB2312" w:eastAsia="仿宋_GB2312" w:cs="仿宋_GB2312"/>
          <w:sz w:val="34"/>
          <w:szCs w:val="34"/>
        </w:rPr>
        <w:t>菜基地、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畜禽基地（生猪基地、牛羊基地、肉禽基地、蛋禽</w:t>
      </w:r>
      <w:r>
        <w:rPr>
          <w:rFonts w:hint="eastAsia" w:ascii="仿宋_GB2312" w:hAnsi="仿宋_GB2312" w:eastAsia="仿宋_GB2312" w:cs="仿宋_GB2312"/>
          <w:sz w:val="34"/>
          <w:szCs w:val="34"/>
        </w:rPr>
        <w:t>基地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4"/>
          <w:szCs w:val="34"/>
        </w:rPr>
        <w:t>水产基地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第三条  </w:t>
      </w:r>
      <w:r>
        <w:rPr>
          <w:rFonts w:hint="eastAsia" w:ascii="仿宋_GB2312" w:hAnsi="仿宋_GB2312" w:eastAsia="仿宋_GB2312" w:cs="仿宋_GB2312"/>
          <w:sz w:val="34"/>
          <w:szCs w:val="34"/>
        </w:rPr>
        <w:t>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4"/>
          <w:szCs w:val="34"/>
        </w:rPr>
        <w:t>负责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的认定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运行监测和监督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管理工作。各县区农业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sz w:val="34"/>
          <w:szCs w:val="34"/>
        </w:rPr>
        <w:t>部门依照本办法做好辖区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申报、初审推荐与日常监管等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第四条  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的认定，按照公开、公平、公正原则，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执行主体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eastAsia="zh-CN"/>
        </w:rPr>
        <w:t>自愿申报、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县级初审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市级评审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认定、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社会公示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的程序，并实行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动态监测管理。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第五条  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享有以下权利：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（一）可按本市有关规定享受资金补助奖励政策；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（二）可在基地产品包装、标签、广告宣传等使用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南昌市</w:t>
      </w:r>
      <w:r>
        <w:rPr>
          <w:rFonts w:hint="eastAsia" w:ascii="仿宋_GB2312" w:hAnsi="仿宋_GB2312" w:eastAsia="仿宋_GB2312" w:cs="仿宋_GB2312"/>
          <w:sz w:val="34"/>
          <w:szCs w:val="34"/>
        </w:rPr>
        <w:t>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菜篮子</w:t>
      </w:r>
      <w:r>
        <w:rPr>
          <w:rFonts w:hint="eastAsia" w:ascii="仿宋_GB2312" w:hAnsi="仿宋_GB2312" w:eastAsia="仿宋_GB2312" w:cs="仿宋_GB2312"/>
          <w:sz w:val="34"/>
          <w:szCs w:val="34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标志、标识或字样；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（三）在基地适当位置悬挂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南昌市</w:t>
      </w:r>
      <w:r>
        <w:rPr>
          <w:rFonts w:hint="eastAsia" w:ascii="仿宋_GB2312" w:hAnsi="仿宋_GB2312" w:eastAsia="仿宋_GB2312" w:cs="仿宋_GB2312"/>
          <w:sz w:val="34"/>
          <w:szCs w:val="34"/>
        </w:rPr>
        <w:t>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菜篮子</w:t>
      </w:r>
      <w:r>
        <w:rPr>
          <w:rFonts w:hint="eastAsia" w:ascii="仿宋_GB2312" w:hAnsi="仿宋_GB2312" w:eastAsia="仿宋_GB2312" w:cs="仿宋_GB2312"/>
          <w:sz w:val="34"/>
          <w:szCs w:val="34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应急保供基地牌匾</w:t>
      </w:r>
      <w:r>
        <w:rPr>
          <w:rFonts w:hint="eastAsia" w:ascii="仿宋_GB2312" w:hAnsi="仿宋_GB2312" w:eastAsia="仿宋_GB2312" w:cs="仿宋_GB2312"/>
          <w:sz w:val="34"/>
          <w:szCs w:val="3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（四）可参加相关部门组织的人员培训和交流活动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法律、法规、规章规定的其他权利。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第六条  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应当承担以下义务：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（一）自觉接受各级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4"/>
          <w:szCs w:val="34"/>
        </w:rPr>
        <w:t>部门的业务指导、监督检查和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监测评估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管理；主动向市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4"/>
          <w:szCs w:val="34"/>
        </w:rPr>
        <w:t>报告基地重大变更事项，当基地条件不再符合认定要求时及时申请退出；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（二）基地产品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4"/>
          <w:szCs w:val="34"/>
        </w:rPr>
        <w:t>保障本市市场供应，并服从本市的应急调控；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（三）落实农产品质量安全主体责任，按照标准化、规模化、组织化的要求进行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4"/>
          <w:szCs w:val="34"/>
        </w:rPr>
        <w:t>菜篮子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</w:rPr>
        <w:t>产品生产和流通，自觉维护基地的信誉和形象；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法律、法规、规章规定的其他义务。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235" w:afterLines="75" w:line="578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第二章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4"/>
          <w:szCs w:val="34"/>
        </w:rPr>
        <w:t xml:space="preserve"> 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第七条  </w:t>
      </w:r>
      <w:r>
        <w:rPr>
          <w:rFonts w:hint="eastAsia" w:ascii="仿宋_GB2312" w:hAnsi="仿宋_GB2312" w:eastAsia="仿宋_GB2312" w:cs="仿宋_GB2312"/>
          <w:sz w:val="34"/>
          <w:szCs w:val="34"/>
        </w:rPr>
        <w:t>申报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应当具备以下条件：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（一）申报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主体应当为依法</w:t>
      </w:r>
      <w:r>
        <w:rPr>
          <w:rFonts w:hint="eastAsia" w:ascii="仿宋_GB2312" w:hAnsi="仿宋_GB2312" w:eastAsia="仿宋_GB2312" w:cs="仿宋_GB2312"/>
          <w:sz w:val="34"/>
          <w:szCs w:val="34"/>
        </w:rPr>
        <w:t>注册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登记的农业企业、农民专业合作社、家庭农场等农业生产经营主体，经营证照、用地手续、生产许可等材料齐备</w:t>
      </w:r>
      <w:r>
        <w:rPr>
          <w:rFonts w:hint="eastAsia" w:ascii="仿宋_GB2312" w:hAnsi="仿宋_GB2312" w:eastAsia="仿宋_GB2312" w:cs="仿宋_GB2312"/>
          <w:sz w:val="34"/>
          <w:szCs w:val="34"/>
        </w:rPr>
        <w:t>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（二）申报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sz w:val="34"/>
          <w:szCs w:val="34"/>
        </w:rPr>
        <w:t>运营两年以上，所申报基地经营一年以上，两年内无不良诚信记录、农产品质量安全事故和安全生产事故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（三）生产场地符合规划、环保、安全生产等标准要求，内部环境整洁、道路规整、排灌通畅，周边环境符合农产品产地环境相关标准要求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申报主体应纳入江西省农产品质量安全大数据智慧监管平台，落实“三上墙、三到户”，落实企业主体信息、检测结果、巡查巡检、农事记录“四必链”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法律、法规、规章规定的其他条件。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第八条  </w:t>
      </w:r>
      <w:r>
        <w:rPr>
          <w:rFonts w:hint="eastAsia" w:ascii="仿宋_GB2312" w:hAnsi="仿宋_GB2312" w:eastAsia="仿宋_GB2312" w:cs="仿宋_GB2312"/>
          <w:sz w:val="34"/>
          <w:szCs w:val="34"/>
        </w:rPr>
        <w:t>申报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除符合本办法第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4"/>
          <w:szCs w:val="34"/>
        </w:rPr>
        <w:t>条的规定外，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不同类型的基地还</w:t>
      </w:r>
      <w:r>
        <w:rPr>
          <w:rFonts w:hint="eastAsia" w:ascii="仿宋_GB2312" w:hAnsi="仿宋_GB2312" w:eastAsia="仿宋_GB2312" w:cs="仿宋_GB2312"/>
          <w:sz w:val="34"/>
          <w:szCs w:val="34"/>
        </w:rPr>
        <w:t>应当符合以下要求：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蔬菜基地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常年蔬菜基地种植面积达100亩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（其中设施蔬菜达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50亩以上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），或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常年蔬菜基地种植面积达1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食用菌种植面积达5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（二）畜禽基地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u w:val="none"/>
        </w:rPr>
        <w:t>生猪设计年出栏1万头以上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肉牛设计年出栏500头以上、肉羊设计年出栏1000头以上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肉禽（鸡、鸭、鹅、鸽子等）设计年出栏量不低于10万羽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</w:rPr>
        <w:t>蛋禽设计年存笼能力达10万羽（存笼能力按10羽/平方米/层估算）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4"/>
          <w:szCs w:val="34"/>
          <w:lang w:val="en-US" w:eastAsia="zh-CN"/>
        </w:rPr>
        <w:t>（三）水产基地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非开放性水域养殖面积不少于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00亩，或开放性水域养殖面积（湖泊、水库）不少于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亩，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  <w:t>工厂化养殖面积不少于1000平方米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第九条  </w:t>
      </w:r>
      <w:r>
        <w:rPr>
          <w:rFonts w:hint="eastAsia" w:ascii="仿宋_GB2312" w:hAnsi="仿宋_GB2312" w:eastAsia="仿宋_GB2312" w:cs="仿宋_GB2312"/>
          <w:sz w:val="34"/>
          <w:szCs w:val="34"/>
        </w:rPr>
        <w:t>申报截止日前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年内，申报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4"/>
          <w:szCs w:val="34"/>
        </w:rPr>
        <w:t>有下列情形之一的，不予认定：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（一）被列入严重违法失信名单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）经查询人民法院公告网，发现已进入破产清算程序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（三）农产品质量安全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监测发现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第十条  </w:t>
      </w:r>
      <w:r>
        <w:rPr>
          <w:rFonts w:hint="eastAsia" w:ascii="仿宋_GB2312" w:hAnsi="仿宋_GB2312" w:eastAsia="仿宋_GB2312" w:cs="仿宋_GB2312"/>
          <w:sz w:val="34"/>
          <w:szCs w:val="34"/>
        </w:rPr>
        <w:t>具备以下条件之一的，可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择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4"/>
          <w:szCs w:val="34"/>
          <w:highlight w:val="none"/>
          <w:lang w:eastAsia="zh-CN"/>
        </w:rPr>
        <w:t>优认定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（一）申报主体为省级及以上农业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产业化</w:t>
      </w:r>
      <w:r>
        <w:rPr>
          <w:rFonts w:hint="eastAsia" w:ascii="仿宋_GB2312" w:hAnsi="仿宋_GB2312" w:eastAsia="仿宋_GB2312" w:cs="仿宋_GB2312"/>
          <w:sz w:val="34"/>
          <w:szCs w:val="34"/>
        </w:rPr>
        <w:t>龙头企业、农民专业合作社示范社、示范家庭农场、标准化示范场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（二）主营产品已获得绿色食品、有机食品、地理标志农产品认证证书，并在有效期内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（三）配备有产地冷库、冷藏车等冷链物流设施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4"/>
          <w:szCs w:val="34"/>
        </w:rPr>
        <w:t>）基地产品通过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粤港澳大湾区“菜篮子”生产基地认证；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4"/>
          <w:szCs w:val="34"/>
        </w:rPr>
        <w:t>实行品牌化战略，基地产品获得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省级以上品牌认定</w:t>
      </w:r>
      <w:r>
        <w:rPr>
          <w:rFonts w:hint="eastAsia" w:ascii="仿宋_GB2312" w:hAnsi="仿宋_GB2312" w:eastAsia="仿宋_GB2312" w:cs="仿宋_GB2312"/>
          <w:sz w:val="34"/>
          <w:szCs w:val="34"/>
        </w:rPr>
        <w:t>，或具有注册商标。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235" w:afterLines="75" w:line="578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 xml:space="preserve">第三章 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4"/>
          <w:szCs w:val="34"/>
        </w:rPr>
        <w:t>认定程序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第十一条  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认定工作原则上每年开展一次，由市农业农村局根据本办法，结合当年工作实际发布认定通知，明确具体办理事项、申报受理时间</w:t>
      </w:r>
      <w:r>
        <w:rPr>
          <w:rFonts w:hint="eastAsia" w:ascii="仿宋_GB2312" w:hAnsi="仿宋_GB2312" w:eastAsia="仿宋_GB2312" w:cs="仿宋_GB2312"/>
          <w:strike w:val="0"/>
          <w:dstrike w:val="0"/>
          <w:sz w:val="34"/>
          <w:szCs w:val="34"/>
          <w:highlight w:val="none"/>
          <w:lang w:eastAsia="zh-CN"/>
        </w:rPr>
        <w:t>、申报数量等</w:t>
      </w:r>
      <w:r>
        <w:rPr>
          <w:rFonts w:hint="eastAsia" w:ascii="仿宋_GB2312" w:hAnsi="仿宋_GB2312" w:eastAsia="仿宋_GB2312" w:cs="仿宋_GB2312"/>
          <w:strike w:val="0"/>
          <w:sz w:val="34"/>
          <w:szCs w:val="3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第十二条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符合条件的主体</w:t>
      </w:r>
      <w:r>
        <w:rPr>
          <w:rFonts w:hint="eastAsia" w:ascii="仿宋_GB2312" w:hAnsi="仿宋_GB2312" w:eastAsia="仿宋_GB2312" w:cs="仿宋_GB2312"/>
          <w:sz w:val="34"/>
          <w:szCs w:val="34"/>
        </w:rPr>
        <w:t>可在指定的申报受理时间内向注册地所在的县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农业农村部门提出申请，并提交以下材料：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（一）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南昌</w:t>
      </w:r>
      <w:r>
        <w:rPr>
          <w:rFonts w:hint="eastAsia" w:ascii="仿宋_GB2312" w:hAnsi="仿宋_GB2312" w:eastAsia="仿宋_GB2312" w:cs="仿宋_GB2312"/>
          <w:sz w:val="34"/>
          <w:szCs w:val="34"/>
        </w:rPr>
        <w:t>市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应急保供基地申请表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（二）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南昌</w:t>
      </w:r>
      <w:r>
        <w:rPr>
          <w:rFonts w:hint="eastAsia" w:ascii="仿宋_GB2312" w:hAnsi="仿宋_GB2312" w:eastAsia="仿宋_GB2312" w:cs="仿宋_GB2312"/>
          <w:sz w:val="34"/>
          <w:szCs w:val="34"/>
        </w:rPr>
        <w:t>市“菜篮子”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应急保供基地申报主体</w:t>
      </w:r>
      <w:r>
        <w:rPr>
          <w:rFonts w:hint="eastAsia" w:ascii="仿宋_GB2312" w:hAnsi="仿宋_GB2312" w:eastAsia="仿宋_GB2312" w:cs="仿宋_GB2312"/>
          <w:sz w:val="34"/>
          <w:szCs w:val="34"/>
        </w:rPr>
        <w:t>承诺书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（三）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信用报告、营业执照、生产基地（栏舍）平面图、相关配套生产设施、产品质量自检室、视频监控设备等照片及视频监控画面截图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trike w:val="0"/>
          <w:dstrike w:val="0"/>
          <w:sz w:val="34"/>
          <w:szCs w:val="34"/>
          <w:highlight w:val="none"/>
          <w:lang w:val="en-US" w:eastAsia="zh-CN"/>
        </w:rPr>
        <w:t>有效申报材料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green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（四）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质量安全管理体系文件，包括组织架构、农业投入品使用管理制度、有毒有害物质监控制度、产品质量管控制度、动物疫病防控制度、产品质量安全追溯制度等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4"/>
          <w:szCs w:val="34"/>
        </w:rPr>
        <w:t>）与本市农产品经营者签订的农产品购销合同（自产自销者另行提供说明和证明材料）；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4"/>
          <w:szCs w:val="34"/>
        </w:rPr>
        <w:t>）基地及其产品获得的各项认证证书或荣誉证书文件等相关佐证材料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（七）其它有关材料。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申报材料按上述次序装订成册上报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县区农业农村部门</w:t>
      </w:r>
      <w:r>
        <w:rPr>
          <w:rFonts w:hint="eastAsia" w:ascii="仿宋_GB2312" w:hAnsi="仿宋_GB2312" w:eastAsia="仿宋_GB2312" w:cs="仿宋_GB2312"/>
          <w:sz w:val="34"/>
          <w:szCs w:val="34"/>
        </w:rPr>
        <w:t>，除前款第一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4"/>
          <w:szCs w:val="34"/>
        </w:rPr>
        <w:t>项以外，所报材料提供复印件，原件备查。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第十三条  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基地所在县区农业农村部门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对申报主体开展材料审核、现场检查及评审打分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（评分标准另行下发）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，形成推荐名单，并经公示无异议后，向市农业农村局推荐。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4"/>
          <w:szCs w:val="34"/>
          <w:lang w:eastAsia="zh-CN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第十四条  </w:t>
      </w:r>
      <w:r>
        <w:rPr>
          <w:rFonts w:hint="eastAsia" w:ascii="仿宋_GB2312" w:hAnsi="仿宋_GB2312" w:eastAsia="仿宋_GB2312" w:cs="仿宋_GB2312"/>
          <w:sz w:val="34"/>
          <w:szCs w:val="34"/>
        </w:rPr>
        <w:t>市农业农村局组织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相关专家组成评审组</w:t>
      </w:r>
      <w:r>
        <w:rPr>
          <w:rFonts w:hint="eastAsia" w:ascii="仿宋_GB2312" w:hAnsi="仿宋_GB2312" w:eastAsia="仿宋_GB2312" w:cs="仿宋_GB2312"/>
          <w:sz w:val="34"/>
          <w:szCs w:val="34"/>
        </w:rPr>
        <w:t>开展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4"/>
          <w:szCs w:val="34"/>
        </w:rPr>
        <w:t>复核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现场核查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及评审打分，并结合日常监管情况进行综合评价，确定基地初选名单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经研究后公示，公示无异议后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发文予以认定，并颁发标志牌。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235" w:afterLines="75" w:line="578" w:lineRule="exact"/>
        <w:jc w:val="center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 xml:space="preserve">第四章  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监测管理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第十五条  </w:t>
      </w:r>
      <w:r>
        <w:rPr>
          <w:rFonts w:hint="eastAsia" w:ascii="仿宋_GB2312" w:eastAsia="仿宋_GB2312"/>
          <w:color w:val="000000"/>
          <w:kern w:val="2"/>
          <w:sz w:val="34"/>
          <w:szCs w:val="34"/>
          <w:highlight w:val="none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实行动态监测管理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建立竞争淘汰机制，做到有进有出。对认定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的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</w:rPr>
        <w:t>（当年新认定的除外），由市农业农村局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组织或委托第三方机构，</w:t>
      </w:r>
      <w:r>
        <w:rPr>
          <w:rFonts w:hint="eastAsia" w:ascii="仿宋_GB2312" w:hAnsi="仿宋_GB2312" w:eastAsia="仿宋_GB2312" w:cs="仿宋_GB2312"/>
          <w:sz w:val="34"/>
          <w:szCs w:val="34"/>
        </w:rPr>
        <w:t>每年进行一次监测评估。监测评估实行量化评分制，监测评估标准与认定评分标准相同。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第十六条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市农业农村局负责或委托第三方机构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制定年度监测工作计划，采取定期统计、情况调查、实地考察、随机抽查等方式实行跟踪管理，及时对</w:t>
      </w:r>
      <w:r>
        <w:rPr>
          <w:rFonts w:hint="eastAsia" w:ascii="仿宋_GB2312" w:eastAsia="仿宋_GB2312"/>
          <w:color w:val="auto"/>
          <w:kern w:val="2"/>
          <w:sz w:val="34"/>
          <w:szCs w:val="34"/>
          <w:highlight w:val="none"/>
          <w:lang w:val="en-US" w:eastAsia="zh-CN" w:bidi="ar-SA"/>
        </w:rPr>
        <w:t>“</w:t>
      </w:r>
      <w:r>
        <w:rPr>
          <w:rFonts w:ascii="仿宋_GB2312" w:eastAsia="仿宋_GB2312" w:cs="仿宋_GB2312"/>
          <w:color w:val="auto"/>
          <w:sz w:val="34"/>
          <w:szCs w:val="34"/>
          <w:highlight w:val="none"/>
          <w:shd w:val="clear" w:color="auto" w:fill="FFFFFF"/>
        </w:rPr>
        <w:t>菜篮子</w:t>
      </w:r>
      <w:r>
        <w:rPr>
          <w:rFonts w:hint="eastAsia" w:ascii="仿宋_GB2312" w:eastAsia="仿宋_GB2312"/>
          <w:color w:val="auto"/>
          <w:kern w:val="2"/>
          <w:sz w:val="34"/>
          <w:szCs w:val="34"/>
          <w:highlight w:val="no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生产、经营管理和产品质量安全状况进行监测。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第十七条  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下列情形之一的，由市农业农村局审议，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撤销其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，并向社会公布：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（一）基地基本条件、规模发生变化，达不到认定条件；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（二）监测评估不合格；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（三）不履行本</w:t>
      </w:r>
      <w:r>
        <w:rPr>
          <w:rFonts w:hint="eastAsia" w:ascii="仿宋_GB2312" w:hAnsi="仿宋_GB2312" w:eastAsia="仿宋_GB2312" w:cs="仿宋_GB2312"/>
          <w:sz w:val="34"/>
          <w:szCs w:val="34"/>
        </w:rPr>
        <w:t>办法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第六条规定义务；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（四）自愿提出撤销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农产品质量安全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监测发现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或引发较大农产品质量安全事件；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（六）产地环境发生重大变化，达不到产地环境要求，影响基地产品质量安全；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（七）使用国家禁止使用的农药、兽药或其他化学物质；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（八）发生安全生产事故；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（九）在申报认定和监测评估中，采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取虚报、瞒报、伪造、篡改基地信息等手段骗取通过；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（十）转借、转让“南昌市‘菜篮子’应急保供基地”标志牌。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第十八条  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监</w:t>
      </w:r>
      <w:r>
        <w:rPr>
          <w:rFonts w:hint="eastAsia" w:ascii="仿宋_GB2312" w:hAnsi="仿宋_GB2312" w:eastAsia="仿宋_GB2312" w:cs="仿宋_GB2312"/>
          <w:sz w:val="34"/>
          <w:szCs w:val="34"/>
        </w:rPr>
        <w:t>测结果合格的，继续保有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南昌市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4"/>
          <w:szCs w:val="34"/>
        </w:rPr>
        <w:t>。监测结果不合格的,撤销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南昌市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“</w:t>
      </w:r>
      <w:r>
        <w:rPr>
          <w:rFonts w:ascii="仿宋_GB2312" w:eastAsia="仿宋_GB2312" w:cs="仿宋_GB2312"/>
          <w:sz w:val="34"/>
          <w:szCs w:val="34"/>
          <w:shd w:val="clear" w:color="auto" w:fill="FFFFFF"/>
        </w:rPr>
        <w:t>菜篮子</w:t>
      </w:r>
      <w:r>
        <w:rPr>
          <w:rFonts w:hint="eastAsia" w:ascii="仿宋_GB2312" w:eastAsia="仿宋_GB2312"/>
          <w:color w:val="000000"/>
          <w:kern w:val="2"/>
          <w:sz w:val="34"/>
          <w:szCs w:val="34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应急保供基地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z w:val="34"/>
          <w:szCs w:val="34"/>
        </w:rPr>
        <w:t>，交回标志牌，基地产品包装、标签、广告宣传等不得继续使用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4"/>
          <w:szCs w:val="34"/>
        </w:rPr>
        <w:t>标志、标识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或字样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235" w:afterLines="75" w:line="578" w:lineRule="exact"/>
        <w:jc w:val="center"/>
        <w:textAlignment w:val="auto"/>
        <w:rPr>
          <w:rFonts w:hint="default" w:ascii="黑体" w:hAnsi="黑体" w:eastAsia="黑体" w:cs="黑体"/>
          <w:sz w:val="34"/>
          <w:szCs w:val="34"/>
          <w:lang w:val="en-US"/>
        </w:rPr>
      </w:pPr>
      <w:r>
        <w:rPr>
          <w:rFonts w:hint="eastAsia" w:ascii="黑体" w:hAnsi="黑体" w:eastAsia="黑体" w:cs="黑体"/>
          <w:kern w:val="2"/>
          <w:sz w:val="34"/>
          <w:szCs w:val="34"/>
          <w:lang w:val="en-US" w:eastAsia="zh-CN" w:bidi="ar-SA"/>
        </w:rPr>
        <w:t xml:space="preserve">第五章  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扶持政策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80" w:firstLineChars="200"/>
        <w:jc w:val="both"/>
        <w:textAlignment w:val="auto"/>
        <w:outlineLvl w:val="9"/>
        <w:rPr>
          <w:sz w:val="34"/>
          <w:szCs w:val="34"/>
          <w:highlight w:val="none"/>
        </w:rPr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第十九条  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在认定的有效期内，对获得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南昌市“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菜篮子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应急保供基地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授牌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的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主体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，给予适当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补助。对新认定的基地每个补助20万元，对监测合格的基地每个补助5万元。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补助资金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eastAsia="zh-CN"/>
        </w:rPr>
        <w:t>在每年农业农村专项资金中列支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,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主要用于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eastAsia="zh-CN"/>
        </w:rPr>
        <w:t>基地正常营运维护、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完善基地基础设施、产品质量安全检测、品种改良、技术推广、仓储冷链、</w:t>
      </w:r>
      <w:r>
        <w:rPr>
          <w:rFonts w:hint="eastAsia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  <w:lang w:val="en-US" w:eastAsia="zh-CN"/>
        </w:rPr>
        <w:t>数字农业</w:t>
      </w:r>
      <w:r>
        <w:rPr>
          <w:rFonts w:hint="default" w:ascii="仿宋_GB2312" w:eastAsia="仿宋_GB2312" w:cs="仿宋_GB2312"/>
          <w:b w:val="0"/>
          <w:bCs w:val="0"/>
          <w:sz w:val="34"/>
          <w:szCs w:val="34"/>
          <w:highlight w:val="none"/>
          <w:shd w:val="clear" w:color="auto" w:fill="FFFFFF"/>
        </w:rPr>
        <w:t>、环境整治、质量追溯系统建设等。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235" w:afterLines="75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黑体" w:hAnsi="黑体" w:eastAsia="黑体" w:cs="黑体"/>
          <w:sz w:val="34"/>
          <w:szCs w:val="34"/>
          <w:highlight w:val="none"/>
        </w:rPr>
        <w:t>第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章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 xml:space="preserve"> 附</w:t>
      </w:r>
      <w:r>
        <w:rPr>
          <w:rFonts w:hint="eastAsia" w:ascii="黑体" w:hAnsi="黑体" w:eastAsia="黑体" w:cs="黑体"/>
          <w:sz w:val="34"/>
          <w:szCs w:val="34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4"/>
          <w:szCs w:val="34"/>
          <w:highlight w:val="none"/>
        </w:rPr>
        <w:t>则</w:t>
      </w:r>
    </w:p>
    <w:p>
      <w:pPr>
        <w:ind w:firstLine="680" w:firstLineChars="200"/>
      </w:pPr>
      <w:r>
        <w:rPr>
          <w:rFonts w:hint="eastAsia" w:ascii="黑体" w:hAnsi="黑体" w:eastAsia="黑体" w:cs="方正楷体_GB2312"/>
          <w:b w:val="0"/>
          <w:bCs/>
          <w:i w:val="0"/>
          <w:color w:val="auto"/>
          <w:kern w:val="2"/>
          <w:sz w:val="34"/>
          <w:szCs w:val="34"/>
          <w:lang w:val="en-US" w:eastAsia="zh-CN" w:bidi="ar-SA"/>
        </w:rPr>
        <w:t xml:space="preserve">第二十条  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本办法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eastAsia="zh-CN"/>
        </w:rPr>
        <w:t>由市农业农村局负责解释，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自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2024年3月1日起实施，有效期3年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BD00E7-EEC3-4CBE-A21F-2E818FA252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B1DFC39-1BCA-4637-9B0E-3EE590C775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55D4568-8204-40DA-83E7-642762B46CA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E983FB1-ED31-4775-AE9E-DE8BDB2F32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2A36081-F8EA-4CEB-91F4-5123E2B9F31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58C9498-3B05-43A9-A338-B8196D6086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YzA3YzJlMTI5YTgzZjYxMTA5NzBkNGM2YWVmZDIifQ=="/>
  </w:docVars>
  <w:rsids>
    <w:rsidRoot w:val="15F6766D"/>
    <w:rsid w:val="01194845"/>
    <w:rsid w:val="09406BE4"/>
    <w:rsid w:val="15F6766D"/>
    <w:rsid w:val="2C5016D4"/>
    <w:rsid w:val="347771E9"/>
    <w:rsid w:val="41A31DC2"/>
    <w:rsid w:val="4EFE3275"/>
    <w:rsid w:val="54446FA1"/>
    <w:rsid w:val="56474D43"/>
    <w:rsid w:val="651E51F6"/>
    <w:rsid w:val="69277DA4"/>
    <w:rsid w:val="757A2214"/>
    <w:rsid w:val="796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next w:val="1"/>
    <w:autoRedefine/>
    <w:qFormat/>
    <w:uiPriority w:val="0"/>
    <w:pPr>
      <w:ind w:firstLine="420" w:firstLineChars="100"/>
    </w:pPr>
    <w:rPr>
      <w:rFonts w:eastAsia="楷体_GB2312"/>
      <w:kern w:val="0"/>
      <w:sz w:val="2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2024-01-05T01:52:00Z</dcterms:created>
  <dc:creator>lenovo</dc:creator>
  <cp:lastModifiedBy>王地球</cp:lastModifiedBy>
  <cp:lastPrinted>2024-01-10T08:57:00Z</cp:lastPrinted>
  <dcterms:modified xsi:type="dcterms:W3CDTF">2024-04-16T02:49:45Z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DB2D883F64B143CCAE12C333A1320A3D_13</vt:lpwstr>
  </property>
</Properties>
</file>